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INFORME PRE-CUENTA PÚBLICA GESTIÓN 2025</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Hospital Santo Tomás de Limache (HSTL)</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300" w:lineRule="auto"/>
        <w:rPr/>
      </w:pPr>
      <w:r w:rsidDel="00000000" w:rsidR="00000000" w:rsidRPr="00000000">
        <w:rPr>
          <w:b w:val="1"/>
          <w:bCs w:val="1"/>
          <w:rtl w:val="0"/>
        </w:rPr>
        <w:t xml:space="preserve">Dirigido a:</w:t>
      </w:r>
      <w:r w:rsidDel="00000000" w:rsidR="00000000" w:rsidRPr="00000000">
        <w:rPr>
          <w:rtl w:val="0"/>
        </w:rPr>
        <w:t xml:space="preserve"> Autoridades del Servicio de Salud Viña del Mar - Quillota, Consejo Consultivo de Usuarios, Gremios y Comunidad Organizada de Limache.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300" w:lineRule="auto"/>
        <w:rPr/>
      </w:pPr>
      <w:r w:rsidDel="00000000" w:rsidR="00000000" w:rsidRPr="00000000">
        <w:rPr>
          <w:b w:val="1"/>
          <w:bCs w:val="1"/>
          <w:rtl w:val="0"/>
        </w:rPr>
        <w:t xml:space="preserve">De:</w:t>
      </w:r>
      <w:r w:rsidDel="00000000" w:rsidR="00000000" w:rsidRPr="00000000">
        <w:rPr>
          <w:rtl w:val="0"/>
        </w:rPr>
        <w:t xml:space="preserve"> Dirección Hospital Santo Tomás de Limache</w:t>
      </w:r>
    </w:p>
    <w:p w:rsidR="00000000" w:rsidDel="00000000" w:rsidP="00000000" w:rsidRDefault="00000000" w:rsidRPr="00000000" w14:paraId="00000005">
      <w:pPr>
        <w:pStyle w:val="Heading3"/>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t xml:space="preserve">1. Introducción y Mensaje del Director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300" w:lineRule="auto"/>
        <w:rPr/>
      </w:pPr>
      <w:r w:rsidDel="00000000" w:rsidR="00000000" w:rsidRPr="00000000">
        <w:rPr>
          <w:rtl w:val="0"/>
        </w:rPr>
        <w:t xml:space="preserve">Estimada comunidad y autoridades de la red de salud: El año 2025 ha sido un periodo de profunda consolidación y reenfocamiento estratégico para nuestro Hospital Santo Tomás de Limache (HSTL). Tras la histórica reorganización de la red local motivada por el traspaso de usuarios de atención primaria hacia el CESFAM Limache Viejo, nuestro establecimiento ha sabido reorientar con éxito su capacidad instalada, sus recursos humanos y financieros para responder a una demanda de mayor complejidad diagnóstica y terapéutica.</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line="300" w:lineRule="auto"/>
        <w:rPr/>
      </w:pPr>
      <w:r w:rsidDel="00000000" w:rsidR="00000000" w:rsidRPr="00000000">
        <w:rPr>
          <w:rtl w:val="0"/>
        </w:rPr>
        <w:t xml:space="preserve">Este informe de Pre-Cuenta Pública consolida de forma transparente los esfuerzos de las áreas técnica, clínica y financiera, demostrando que hoy el HSTL es un nodo más eficiente, moderno y profundamente comprometido con la seguridad y la dignidad de la atención de todos nuestros usuarios.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009">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Gestión Clínica y Producción Asistencial (2023 - 2025)</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150" w:line="300" w:lineRule="auto"/>
        <w:rPr/>
      </w:pPr>
      <w:r w:rsidDel="00000000" w:rsidR="00000000" w:rsidRPr="00000000">
        <w:rPr>
          <w:rtl w:val="0"/>
        </w:rPr>
        <w:t xml:space="preserve">La actividad asistencial del año 2025 demuestra una tendencia clara hacia la especialización, la modernización de los servicios de urgencia y una disminución planificada en las consultas médicas generales de atención primaria (APS), alineada con la maduración de la red comunal.</w:t>
      </w:r>
    </w:p>
    <w:tbl>
      <w:tblPr>
        <w:tblStyle w:val="Table1"/>
        <w:tblW w:w="9360.0" w:type="dxa"/>
        <w:jc w:val="left"/>
        <w:tblBorders>
          <w:top w:color="cbd5e1" w:space="0" w:sz="6" w:val="single"/>
          <w:left w:color="cbd5e1" w:space="0" w:sz="6" w:val="single"/>
          <w:bottom w:color="cbd5e1" w:space="0" w:sz="6" w:val="single"/>
          <w:right w:color="cbd5e1" w:space="0" w:sz="6" w:val="single"/>
          <w:insideH w:color="cbd5e1" w:space="0" w:sz="6" w:val="single"/>
          <w:insideV w:color="cbd5e1" w:space="0" w:sz="6"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1"/>
        </w:trPr>
        <w:tc>
          <w:tcPr>
            <w:tcBorders>
              <w:top w:color="cbd5e1" w:space="0" w:sz="6" w:val="single"/>
              <w:left w:color="cbd5e1" w:space="0" w:sz="6" w:val="single"/>
              <w:bottom w:color="cbd5e1" w:space="0" w:sz="6" w:val="single"/>
              <w:right w:color="cbd5e1" w:space="0" w:sz="6" w:val="single"/>
            </w:tcBorders>
            <w:shd w:fill="1e3a8a" w:val="clear"/>
            <w:tcMar>
              <w:top w:w="150.0" w:type="dxa"/>
              <w:left w:w="150.0" w:type="dxa"/>
              <w:bottom w:w="150.0" w:type="dxa"/>
              <w:right w:w="150.0" w:type="dxa"/>
            </w:tcMar>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150" w:before="150" w:lineRule="auto"/>
              <w:rPr>
                <w:color w:val="ffffff"/>
                <w:shd w:fill="auto" w:val="clear"/>
              </w:rPr>
            </w:pPr>
            <w:r w:rsidDel="00000000" w:rsidR="00000000" w:rsidRPr="00000000">
              <w:rPr>
                <w:color w:val="ffffff"/>
                <w:shd w:fill="auto" w:val="clear"/>
                <w:rtl w:val="0"/>
              </w:rPr>
              <w:t xml:space="preserve">Dimensión de Gestión</w:t>
            </w:r>
          </w:p>
        </w:tc>
        <w:tc>
          <w:tcPr>
            <w:tcBorders>
              <w:top w:color="cbd5e1" w:space="0" w:sz="6" w:val="single"/>
              <w:left w:color="cbd5e1" w:space="0" w:sz="6" w:val="single"/>
              <w:bottom w:color="cbd5e1" w:space="0" w:sz="6" w:val="single"/>
              <w:right w:color="cbd5e1" w:space="0" w:sz="6" w:val="single"/>
            </w:tcBorders>
            <w:shd w:fill="1e3a8a" w:val="clear"/>
            <w:tcMar>
              <w:top w:w="150.0" w:type="dxa"/>
              <w:left w:w="150.0" w:type="dxa"/>
              <w:bottom w:w="150.0" w:type="dxa"/>
              <w:right w:w="150.0" w:type="dxa"/>
            </w:tcMar>
            <w:vAlign w:val="top"/>
          </w:tcPr>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150" w:before="150" w:lineRule="auto"/>
              <w:rPr>
                <w:color w:val="ffffff"/>
                <w:shd w:fill="auto" w:val="clear"/>
              </w:rPr>
            </w:pPr>
            <w:r w:rsidDel="00000000" w:rsidR="00000000" w:rsidRPr="00000000">
              <w:rPr>
                <w:color w:val="ffffff"/>
                <w:shd w:fill="auto" w:val="clear"/>
                <w:rtl w:val="0"/>
              </w:rPr>
              <w:t xml:space="preserve">Indicador de Producción</w:t>
            </w:r>
          </w:p>
        </w:tc>
        <w:tc>
          <w:tcPr>
            <w:tcBorders>
              <w:top w:color="cbd5e1" w:space="0" w:sz="6" w:val="single"/>
              <w:left w:color="cbd5e1" w:space="0" w:sz="6" w:val="single"/>
              <w:bottom w:color="cbd5e1" w:space="0" w:sz="6" w:val="single"/>
              <w:right w:color="cbd5e1" w:space="0" w:sz="6" w:val="single"/>
            </w:tcBorders>
            <w:shd w:fill="1e3a8a" w:val="clear"/>
            <w:tcMar>
              <w:top w:w="150.0" w:type="dxa"/>
              <w:left w:w="150.0" w:type="dxa"/>
              <w:bottom w:w="150.0" w:type="dxa"/>
              <w:right w:w="150.0" w:type="dxa"/>
            </w:tcMar>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50" w:before="150" w:lineRule="auto"/>
              <w:jc w:val="center"/>
              <w:rPr>
                <w:color w:val="ffffff"/>
                <w:shd w:fill="auto" w:val="clear"/>
              </w:rPr>
            </w:pPr>
            <w:r w:rsidDel="00000000" w:rsidR="00000000" w:rsidRPr="00000000">
              <w:rPr>
                <w:color w:val="ffffff"/>
                <w:shd w:fill="auto" w:val="clear"/>
                <w:rtl w:val="0"/>
              </w:rPr>
              <w:t xml:space="preserve">Año 2023</w:t>
            </w:r>
          </w:p>
        </w:tc>
        <w:tc>
          <w:tcPr>
            <w:tcBorders>
              <w:top w:color="cbd5e1" w:space="0" w:sz="6" w:val="single"/>
              <w:left w:color="cbd5e1" w:space="0" w:sz="6" w:val="single"/>
              <w:bottom w:color="cbd5e1" w:space="0" w:sz="6" w:val="single"/>
              <w:right w:color="cbd5e1" w:space="0" w:sz="6" w:val="single"/>
            </w:tcBorders>
            <w:shd w:fill="1e3a8a" w:val="clear"/>
            <w:tcMar>
              <w:top w:w="150.0" w:type="dxa"/>
              <w:left w:w="150.0" w:type="dxa"/>
              <w:bottom w:w="150.0" w:type="dxa"/>
              <w:right w:w="150.0" w:type="dxa"/>
            </w:tcMar>
            <w:vAlign w:val="top"/>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50" w:before="150" w:lineRule="auto"/>
              <w:jc w:val="center"/>
              <w:rPr>
                <w:color w:val="ffffff"/>
                <w:shd w:fill="auto" w:val="clear"/>
              </w:rPr>
            </w:pPr>
            <w:r w:rsidDel="00000000" w:rsidR="00000000" w:rsidRPr="00000000">
              <w:rPr>
                <w:color w:val="ffffff"/>
                <w:shd w:fill="auto" w:val="clear"/>
                <w:rtl w:val="0"/>
              </w:rPr>
              <w:t xml:space="preserve">Año 2024</w:t>
            </w:r>
          </w:p>
        </w:tc>
        <w:tc>
          <w:tcPr>
            <w:tcBorders>
              <w:top w:color="cbd5e1" w:space="0" w:sz="6" w:val="single"/>
              <w:left w:color="cbd5e1" w:space="0" w:sz="6" w:val="single"/>
              <w:bottom w:color="cbd5e1" w:space="0" w:sz="6" w:val="single"/>
              <w:right w:color="cbd5e1" w:space="0" w:sz="6" w:val="single"/>
            </w:tcBorders>
            <w:shd w:fill="1e3a8a" w:val="clear"/>
            <w:tcMar>
              <w:top w:w="150.0" w:type="dxa"/>
              <w:left w:w="150.0" w:type="dxa"/>
              <w:bottom w:w="150.0" w:type="dxa"/>
              <w:right w:w="15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50" w:before="150" w:lineRule="auto"/>
              <w:jc w:val="center"/>
              <w:rPr>
                <w:color w:val="ffffff"/>
                <w:shd w:fill="auto" w:val="clear"/>
              </w:rPr>
            </w:pPr>
            <w:r w:rsidDel="00000000" w:rsidR="00000000" w:rsidRPr="00000000">
              <w:rPr>
                <w:color w:val="ffffff"/>
                <w:shd w:fill="auto" w:val="clear"/>
                <w:rtl w:val="0"/>
              </w:rPr>
              <w:t xml:space="preserve">Año 2025</w:t>
            </w:r>
          </w:p>
        </w:tc>
        <w:tc>
          <w:tcPr>
            <w:tcBorders>
              <w:top w:color="cbd5e1" w:space="0" w:sz="6" w:val="single"/>
              <w:left w:color="cbd5e1" w:space="0" w:sz="6" w:val="single"/>
              <w:bottom w:color="cbd5e1" w:space="0" w:sz="6" w:val="single"/>
              <w:right w:color="cbd5e1" w:space="0" w:sz="6" w:val="single"/>
            </w:tcBorders>
            <w:shd w:fill="1e3a8a" w:val="clear"/>
            <w:tcMar>
              <w:top w:w="150.0" w:type="dxa"/>
              <w:left w:w="150.0" w:type="dxa"/>
              <w:bottom w:w="150.0" w:type="dxa"/>
              <w:right w:w="150.0" w:type="dxa"/>
            </w:tcMar>
            <w:vAlign w:val="top"/>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50" w:before="150" w:lineRule="auto"/>
              <w:jc w:val="center"/>
              <w:rPr>
                <w:color w:val="ffffff"/>
                <w:shd w:fill="auto" w:val="clear"/>
              </w:rPr>
            </w:pPr>
            <w:r w:rsidDel="00000000" w:rsidR="00000000" w:rsidRPr="00000000">
              <w:rPr>
                <w:color w:val="ffffff"/>
                <w:shd w:fill="auto" w:val="clear"/>
                <w:rtl w:val="0"/>
              </w:rPr>
              <w:t xml:space="preserve">Variación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tc>
      </w:tr>
      <w:tr>
        <w:trPr>
          <w:cantSplit w:val="0"/>
          <w:tblHeader w:val="0"/>
        </w:trPr>
        <w:tc>
          <w:tcPr>
            <w:tcBorders>
              <w:top w:color="cbd5e1" w:space="0" w:sz="6" w:val="single"/>
              <w:left w:color="cbd5e1" w:space="0" w:sz="6" w:val="single"/>
              <w:bottom w:color="cbd5e1" w:space="0" w:sz="6" w:val="single"/>
              <w:right w:color="cbd5e1"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50" w:before="150" w:lineRule="auto"/>
              <w:rPr>
                <w:b w:val="1"/>
                <w:bCs w:val="1"/>
              </w:rPr>
            </w:pPr>
            <w:r w:rsidDel="00000000" w:rsidR="00000000" w:rsidRPr="00000000">
              <w:rPr>
                <w:b w:val="1"/>
                <w:bCs w:val="1"/>
                <w:rtl w:val="0"/>
              </w:rPr>
              <w:t xml:space="preserve">Urgencias</w:t>
            </w:r>
          </w:p>
        </w:tc>
        <w:tc>
          <w:tcPr>
            <w:tcBorders>
              <w:top w:color="cbd5e1" w:space="0" w:sz="6" w:val="single"/>
              <w:left w:color="cbd5e1" w:space="0" w:sz="6" w:val="single"/>
              <w:bottom w:color="cbd5e1" w:space="0" w:sz="6" w:val="single"/>
              <w:right w:color="cbd5e1"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Consultas Médicas de Urgencia</w:t>
            </w:r>
          </w:p>
        </w:tc>
        <w:tc>
          <w:tcPr>
            <w:tcBorders>
              <w:top w:color="cbd5e1" w:space="0" w:sz="6" w:val="single"/>
              <w:left w:color="cbd5e1" w:space="0" w:sz="6" w:val="single"/>
              <w:bottom w:color="cbd5e1" w:space="0" w:sz="6" w:val="single"/>
              <w:right w:color="cbd5e1"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50" w:before="150" w:lineRule="auto"/>
              <w:jc w:val="center"/>
              <w:rPr/>
            </w:pPr>
            <w:r w:rsidDel="00000000" w:rsidR="00000000" w:rsidRPr="00000000">
              <w:rPr>
                <w:rtl w:val="0"/>
              </w:rPr>
              <w:t xml:space="preserve">48.941</w:t>
            </w:r>
          </w:p>
        </w:tc>
        <w:tc>
          <w:tcPr>
            <w:tcBorders>
              <w:top w:color="cbd5e1" w:space="0" w:sz="6" w:val="single"/>
              <w:left w:color="cbd5e1" w:space="0" w:sz="6" w:val="single"/>
              <w:bottom w:color="cbd5e1" w:space="0" w:sz="6" w:val="single"/>
              <w:right w:color="cbd5e1"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50" w:before="150" w:lineRule="auto"/>
              <w:jc w:val="center"/>
              <w:rPr/>
            </w:pPr>
            <w:r w:rsidDel="00000000" w:rsidR="00000000" w:rsidRPr="00000000">
              <w:rPr>
                <w:rtl w:val="0"/>
              </w:rPr>
              <w:t xml:space="preserve">48.454</w:t>
            </w:r>
          </w:p>
        </w:tc>
        <w:tc>
          <w:tcPr>
            <w:tcBorders>
              <w:top w:color="cbd5e1" w:space="0" w:sz="6" w:val="single"/>
              <w:left w:color="cbd5e1" w:space="0" w:sz="6" w:val="single"/>
              <w:bottom w:color="cbd5e1" w:space="0" w:sz="6" w:val="single"/>
              <w:right w:color="cbd5e1"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50" w:before="150" w:lineRule="auto"/>
              <w:jc w:val="center"/>
              <w:rPr/>
            </w:pPr>
            <w:r w:rsidDel="00000000" w:rsidR="00000000" w:rsidRPr="00000000">
              <w:rPr>
                <w:rtl w:val="0"/>
              </w:rPr>
              <w:t xml:space="preserve">49.884</w:t>
            </w:r>
          </w:p>
        </w:tc>
        <w:tc>
          <w:tcPr>
            <w:tcBorders>
              <w:top w:color="cbd5e1" w:space="0" w:sz="6" w:val="single"/>
              <w:left w:color="cbd5e1" w:space="0" w:sz="6" w:val="single"/>
              <w:bottom w:color="cbd5e1" w:space="0" w:sz="6" w:val="single"/>
              <w:right w:color="cbd5e1"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50" w:before="150" w:lineRule="auto"/>
              <w:jc w:val="center"/>
              <w:rPr>
                <w:color w:val="008000"/>
              </w:rPr>
            </w:pPr>
            <w:r w:rsidDel="00000000" w:rsidR="00000000" w:rsidRPr="00000000">
              <w:rPr>
                <w:color w:val="008000"/>
                <w:rtl w:val="0"/>
              </w:rPr>
              <w:t xml:space="preserve">+2,9%</w:t>
            </w:r>
          </w:p>
        </w:tc>
      </w:tr>
      <w:tr>
        <w:trPr>
          <w:cantSplit w:val="0"/>
          <w:tblHeader w:val="0"/>
        </w:trPr>
        <w:tc>
          <w:tcPr>
            <w:tcBorders>
              <w:top w:color="cbd5e1" w:space="0" w:sz="6" w:val="single"/>
              <w:left w:color="cbd5e1" w:space="0" w:sz="6" w:val="single"/>
              <w:bottom w:color="cbd5e1" w:space="0" w:sz="6" w:val="single"/>
              <w:right w:color="cbd5e1" w:space="0" w:sz="6" w:val="single"/>
            </w:tcBorders>
            <w:shd w:fill="f8fafc" w:val="clear"/>
            <w:tcMar>
              <w:top w:w="150.0" w:type="dxa"/>
              <w:left w:w="150.0" w:type="dxa"/>
              <w:bottom w:w="150.0" w:type="dxa"/>
              <w:right w:w="15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50" w:before="150" w:lineRule="auto"/>
              <w:rPr>
                <w:b w:val="1"/>
                <w:bCs w:val="1"/>
                <w:shd w:fill="auto" w:val="clear"/>
              </w:rPr>
            </w:pPr>
            <w:r w:rsidDel="00000000" w:rsidR="00000000" w:rsidRPr="00000000">
              <w:rPr>
                <w:b w:val="1"/>
                <w:bCs w:val="1"/>
                <w:shd w:fill="auto" w:val="clear"/>
                <w:rtl w:val="0"/>
              </w:rPr>
              <w:t xml:space="preserve">Atención Primaria</w:t>
            </w:r>
          </w:p>
        </w:tc>
        <w:tc>
          <w:tcPr>
            <w:tcBorders>
              <w:top w:color="cbd5e1" w:space="0" w:sz="6" w:val="single"/>
              <w:left w:color="cbd5e1" w:space="0" w:sz="6" w:val="single"/>
              <w:bottom w:color="cbd5e1" w:space="0" w:sz="6" w:val="single"/>
              <w:right w:color="cbd5e1" w:space="0" w:sz="6" w:val="single"/>
            </w:tcBorders>
            <w:shd w:fill="f8fafc" w:val="clear"/>
            <w:tcMar>
              <w:top w:w="150.0" w:type="dxa"/>
              <w:left w:w="150.0" w:type="dxa"/>
              <w:bottom w:w="150.0" w:type="dxa"/>
              <w:right w:w="15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50" w:before="150" w:lineRule="auto"/>
              <w:rPr>
                <w:shd w:fill="auto" w:val="clear"/>
              </w:rPr>
            </w:pPr>
            <w:r w:rsidDel="00000000" w:rsidR="00000000" w:rsidRPr="00000000">
              <w:rPr>
                <w:shd w:fill="auto" w:val="clear"/>
                <w:rtl w:val="0"/>
              </w:rPr>
              <w:t xml:space="preserve">Consultas Médicas APS</w:t>
            </w:r>
          </w:p>
        </w:tc>
        <w:tc>
          <w:tcPr>
            <w:tcBorders>
              <w:top w:color="cbd5e1" w:space="0" w:sz="6" w:val="single"/>
              <w:left w:color="cbd5e1" w:space="0" w:sz="6" w:val="single"/>
              <w:bottom w:color="cbd5e1" w:space="0" w:sz="6" w:val="single"/>
              <w:right w:color="cbd5e1" w:space="0" w:sz="6" w:val="single"/>
            </w:tcBorders>
            <w:shd w:fill="f8fafc" w:val="clear"/>
            <w:tcMar>
              <w:top w:w="150.0" w:type="dxa"/>
              <w:left w:w="150.0" w:type="dxa"/>
              <w:bottom w:w="150.0" w:type="dxa"/>
              <w:right w:w="15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50" w:before="150" w:lineRule="auto"/>
              <w:jc w:val="center"/>
              <w:rPr>
                <w:shd w:fill="auto" w:val="clear"/>
              </w:rPr>
            </w:pPr>
            <w:r w:rsidDel="00000000" w:rsidR="00000000" w:rsidRPr="00000000">
              <w:rPr>
                <w:shd w:fill="auto" w:val="clear"/>
                <w:rtl w:val="0"/>
              </w:rPr>
              <w:t xml:space="preserve">18.210</w:t>
            </w:r>
          </w:p>
        </w:tc>
        <w:tc>
          <w:tcPr>
            <w:tcBorders>
              <w:top w:color="cbd5e1" w:space="0" w:sz="6" w:val="single"/>
              <w:left w:color="cbd5e1" w:space="0" w:sz="6" w:val="single"/>
              <w:bottom w:color="cbd5e1" w:space="0" w:sz="6" w:val="single"/>
              <w:right w:color="cbd5e1" w:space="0" w:sz="6" w:val="single"/>
            </w:tcBorders>
            <w:shd w:fill="f8fafc" w:val="clear"/>
            <w:tcMar>
              <w:top w:w="150.0" w:type="dxa"/>
              <w:left w:w="150.0" w:type="dxa"/>
              <w:bottom w:w="150.0" w:type="dxa"/>
              <w:right w:w="15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50" w:before="150" w:lineRule="auto"/>
              <w:jc w:val="center"/>
              <w:rPr>
                <w:shd w:fill="auto" w:val="clear"/>
              </w:rPr>
            </w:pPr>
            <w:r w:rsidDel="00000000" w:rsidR="00000000" w:rsidRPr="00000000">
              <w:rPr>
                <w:shd w:fill="auto" w:val="clear"/>
                <w:rtl w:val="0"/>
              </w:rPr>
              <w:t xml:space="preserve">17.033</w:t>
            </w:r>
          </w:p>
        </w:tc>
        <w:tc>
          <w:tcPr>
            <w:tcBorders>
              <w:top w:color="cbd5e1" w:space="0" w:sz="6" w:val="single"/>
              <w:left w:color="cbd5e1" w:space="0" w:sz="6" w:val="single"/>
              <w:bottom w:color="cbd5e1" w:space="0" w:sz="6" w:val="single"/>
              <w:right w:color="cbd5e1" w:space="0" w:sz="6" w:val="single"/>
            </w:tcBorders>
            <w:shd w:fill="f8fafc" w:val="clear"/>
            <w:tcMar>
              <w:top w:w="150.0" w:type="dxa"/>
              <w:left w:w="150.0" w:type="dxa"/>
              <w:bottom w:w="150.0" w:type="dxa"/>
              <w:right w:w="15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50" w:before="150" w:lineRule="auto"/>
              <w:jc w:val="center"/>
              <w:rPr>
                <w:shd w:fill="auto" w:val="clear"/>
              </w:rPr>
            </w:pPr>
            <w:r w:rsidDel="00000000" w:rsidR="00000000" w:rsidRPr="00000000">
              <w:rPr>
                <w:shd w:fill="auto" w:val="clear"/>
                <w:rtl w:val="0"/>
              </w:rPr>
              <w:t xml:space="preserve">16.585</w:t>
            </w:r>
          </w:p>
        </w:tc>
        <w:tc>
          <w:tcPr>
            <w:tcBorders>
              <w:top w:color="cbd5e1" w:space="0" w:sz="6" w:val="single"/>
              <w:left w:color="cbd5e1" w:space="0" w:sz="6" w:val="single"/>
              <w:bottom w:color="cbd5e1" w:space="0" w:sz="6" w:val="single"/>
              <w:right w:color="cbd5e1" w:space="0" w:sz="6" w:val="single"/>
            </w:tcBorders>
            <w:shd w:fill="f8fafc" w:val="clear"/>
            <w:tcMar>
              <w:top w:w="150.0" w:type="dxa"/>
              <w:left w:w="150.0" w:type="dxa"/>
              <w:bottom w:w="150.0" w:type="dxa"/>
              <w:right w:w="15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50" w:before="150" w:lineRule="auto"/>
              <w:jc w:val="center"/>
              <w:rPr>
                <w:color w:val="ff0000"/>
                <w:shd w:fill="auto" w:val="clear"/>
              </w:rPr>
            </w:pPr>
            <w:r w:rsidDel="00000000" w:rsidR="00000000" w:rsidRPr="00000000">
              <w:rPr>
                <w:color w:val="ff0000"/>
                <w:shd w:fill="auto" w:val="clear"/>
                <w:rtl w:val="0"/>
              </w:rPr>
              <w:t xml:space="preserve">-2,6%</w:t>
            </w:r>
          </w:p>
        </w:tc>
      </w:tr>
      <w:tr>
        <w:trPr>
          <w:cantSplit w:val="0"/>
          <w:tblHeader w:val="0"/>
        </w:trPr>
        <w:tc>
          <w:tcPr>
            <w:tcBorders>
              <w:top w:color="cbd5e1" w:space="0" w:sz="6" w:val="single"/>
              <w:left w:color="cbd5e1" w:space="0" w:sz="6" w:val="single"/>
              <w:bottom w:color="cbd5e1" w:space="0" w:sz="6" w:val="single"/>
              <w:right w:color="cbd5e1"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50" w:before="150" w:lineRule="auto"/>
              <w:rPr>
                <w:b w:val="1"/>
                <w:bCs w:val="1"/>
              </w:rPr>
            </w:pPr>
            <w:r w:rsidDel="00000000" w:rsidR="00000000" w:rsidRPr="00000000">
              <w:rPr>
                <w:b w:val="1"/>
                <w:bCs w:val="1"/>
                <w:rtl w:val="0"/>
              </w:rPr>
              <w:t xml:space="preserve">Especialidades</w:t>
            </w:r>
          </w:p>
        </w:tc>
        <w:tc>
          <w:tcPr>
            <w:tcBorders>
              <w:top w:color="cbd5e1" w:space="0" w:sz="6" w:val="single"/>
              <w:left w:color="cbd5e1" w:space="0" w:sz="6" w:val="single"/>
              <w:bottom w:color="cbd5e1" w:space="0" w:sz="6" w:val="single"/>
              <w:right w:color="cbd5e1"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50" w:before="150" w:lineRule="auto"/>
              <w:rPr/>
            </w:pPr>
            <w:r w:rsidDel="00000000" w:rsidR="00000000" w:rsidRPr="00000000">
              <w:rPr>
                <w:rtl w:val="0"/>
              </w:rPr>
              <w:t xml:space="preserve">Consultas Médicas de Especialidad</w:t>
            </w:r>
          </w:p>
        </w:tc>
        <w:tc>
          <w:tcPr>
            <w:tcBorders>
              <w:top w:color="cbd5e1" w:space="0" w:sz="6" w:val="single"/>
              <w:left w:color="cbd5e1" w:space="0" w:sz="6" w:val="single"/>
              <w:bottom w:color="cbd5e1" w:space="0" w:sz="6" w:val="single"/>
              <w:right w:color="cbd5e1"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50" w:before="150" w:lineRule="auto"/>
              <w:jc w:val="center"/>
              <w:rPr/>
            </w:pPr>
            <w:r w:rsidDel="00000000" w:rsidR="00000000" w:rsidRPr="00000000">
              <w:rPr>
                <w:rtl w:val="0"/>
              </w:rPr>
              <w:t xml:space="preserve">10.450</w:t>
            </w:r>
          </w:p>
        </w:tc>
        <w:tc>
          <w:tcPr>
            <w:tcBorders>
              <w:top w:color="cbd5e1" w:space="0" w:sz="6" w:val="single"/>
              <w:left w:color="cbd5e1" w:space="0" w:sz="6" w:val="single"/>
              <w:bottom w:color="cbd5e1" w:space="0" w:sz="6" w:val="single"/>
              <w:right w:color="cbd5e1"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50" w:before="150" w:lineRule="auto"/>
              <w:jc w:val="center"/>
              <w:rPr/>
            </w:pPr>
            <w:r w:rsidDel="00000000" w:rsidR="00000000" w:rsidRPr="00000000">
              <w:rPr>
                <w:rtl w:val="0"/>
              </w:rPr>
              <w:t xml:space="preserve">11.890</w:t>
            </w:r>
          </w:p>
        </w:tc>
        <w:tc>
          <w:tcPr>
            <w:tcBorders>
              <w:top w:color="cbd5e1" w:space="0" w:sz="6" w:val="single"/>
              <w:left w:color="cbd5e1" w:space="0" w:sz="6" w:val="single"/>
              <w:bottom w:color="cbd5e1" w:space="0" w:sz="6" w:val="single"/>
              <w:right w:color="cbd5e1"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50" w:before="150" w:lineRule="auto"/>
              <w:jc w:val="center"/>
              <w:rPr/>
            </w:pPr>
            <w:r w:rsidDel="00000000" w:rsidR="00000000" w:rsidRPr="00000000">
              <w:rPr>
                <w:rtl w:val="0"/>
              </w:rPr>
              <w:t xml:space="preserve">13.420</w:t>
            </w:r>
          </w:p>
        </w:tc>
        <w:tc>
          <w:tcPr>
            <w:tcBorders>
              <w:top w:color="cbd5e1" w:space="0" w:sz="6" w:val="single"/>
              <w:left w:color="cbd5e1" w:space="0" w:sz="6" w:val="single"/>
              <w:bottom w:color="cbd5e1" w:space="0" w:sz="6" w:val="single"/>
              <w:right w:color="cbd5e1"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50" w:before="150" w:lineRule="auto"/>
              <w:jc w:val="center"/>
              <w:rPr>
                <w:color w:val="008000"/>
              </w:rPr>
            </w:pPr>
            <w:r w:rsidDel="00000000" w:rsidR="00000000" w:rsidRPr="00000000">
              <w:rPr>
                <w:color w:val="008000"/>
                <w:rtl w:val="0"/>
              </w:rPr>
              <w:t xml:space="preserve">+12,9%</w:t>
            </w:r>
          </w:p>
        </w:tc>
      </w:tr>
      <w:tr>
        <w:trPr>
          <w:cantSplit w:val="0"/>
          <w:tblHeader w:val="0"/>
        </w:trPr>
        <w:tc>
          <w:tcPr>
            <w:tcBorders>
              <w:top w:color="cbd5e1" w:space="0" w:sz="6" w:val="single"/>
              <w:left w:color="cbd5e1" w:space="0" w:sz="6" w:val="single"/>
              <w:bottom w:color="cbd5e1" w:space="0" w:sz="6" w:val="single"/>
              <w:right w:color="cbd5e1" w:space="0" w:sz="6" w:val="single"/>
            </w:tcBorders>
            <w:shd w:fill="f8fafc" w:val="clear"/>
            <w:tcMar>
              <w:top w:w="150.0" w:type="dxa"/>
              <w:left w:w="150.0" w:type="dxa"/>
              <w:bottom w:w="150.0" w:type="dxa"/>
              <w:right w:w="15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50" w:before="150" w:lineRule="auto"/>
              <w:rPr>
                <w:b w:val="1"/>
                <w:bCs w:val="1"/>
                <w:shd w:fill="auto" w:val="clear"/>
              </w:rPr>
            </w:pPr>
            <w:r w:rsidDel="00000000" w:rsidR="00000000" w:rsidRPr="00000000">
              <w:rPr>
                <w:b w:val="1"/>
                <w:bCs w:val="1"/>
                <w:shd w:fill="auto" w:val="clear"/>
                <w:rtl w:val="0"/>
              </w:rPr>
              <w:t xml:space="preserve">Odontología</w:t>
            </w:r>
          </w:p>
        </w:tc>
        <w:tc>
          <w:tcPr>
            <w:tcBorders>
              <w:top w:color="cbd5e1" w:space="0" w:sz="6" w:val="single"/>
              <w:left w:color="cbd5e1" w:space="0" w:sz="6" w:val="single"/>
              <w:bottom w:color="cbd5e1" w:space="0" w:sz="6" w:val="single"/>
              <w:right w:color="cbd5e1" w:space="0" w:sz="6" w:val="single"/>
            </w:tcBorders>
            <w:shd w:fill="f8fafc" w:val="clear"/>
            <w:tcMar>
              <w:top w:w="150.0" w:type="dxa"/>
              <w:left w:w="150.0" w:type="dxa"/>
              <w:bottom w:w="150.0" w:type="dxa"/>
              <w:right w:w="15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50" w:before="150" w:lineRule="auto"/>
              <w:rPr>
                <w:shd w:fill="auto" w:val="clear"/>
              </w:rPr>
            </w:pPr>
            <w:r w:rsidDel="00000000" w:rsidR="00000000" w:rsidRPr="00000000">
              <w:rPr>
                <w:shd w:fill="auto" w:val="clear"/>
                <w:rtl w:val="0"/>
              </w:rPr>
              <w:t xml:space="preserve">Total Atenciones Odontológicas</w:t>
            </w:r>
          </w:p>
        </w:tc>
        <w:tc>
          <w:tcPr>
            <w:tcBorders>
              <w:top w:color="cbd5e1" w:space="0" w:sz="6" w:val="single"/>
              <w:left w:color="cbd5e1" w:space="0" w:sz="6" w:val="single"/>
              <w:bottom w:color="cbd5e1" w:space="0" w:sz="6" w:val="single"/>
              <w:right w:color="cbd5e1" w:space="0" w:sz="6" w:val="single"/>
            </w:tcBorders>
            <w:shd w:fill="f8fafc" w:val="clear"/>
            <w:tcMar>
              <w:top w:w="150.0" w:type="dxa"/>
              <w:left w:w="150.0" w:type="dxa"/>
              <w:bottom w:w="150.0" w:type="dxa"/>
              <w:right w:w="15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50" w:before="150" w:lineRule="auto"/>
              <w:jc w:val="center"/>
              <w:rPr>
                <w:shd w:fill="auto" w:val="clear"/>
              </w:rPr>
            </w:pPr>
            <w:r w:rsidDel="00000000" w:rsidR="00000000" w:rsidRPr="00000000">
              <w:rPr>
                <w:shd w:fill="auto" w:val="clear"/>
                <w:rtl w:val="0"/>
              </w:rPr>
              <w:t xml:space="preserve">2.575</w:t>
            </w:r>
          </w:p>
        </w:tc>
        <w:tc>
          <w:tcPr>
            <w:tcBorders>
              <w:top w:color="cbd5e1" w:space="0" w:sz="6" w:val="single"/>
              <w:left w:color="cbd5e1" w:space="0" w:sz="6" w:val="single"/>
              <w:bottom w:color="cbd5e1" w:space="0" w:sz="6" w:val="single"/>
              <w:right w:color="cbd5e1" w:space="0" w:sz="6" w:val="single"/>
            </w:tcBorders>
            <w:shd w:fill="f8fafc" w:val="clear"/>
            <w:tcMar>
              <w:top w:w="150.0" w:type="dxa"/>
              <w:left w:w="150.0" w:type="dxa"/>
              <w:bottom w:w="150.0" w:type="dxa"/>
              <w:right w:w="15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50" w:before="150" w:lineRule="auto"/>
              <w:jc w:val="center"/>
              <w:rPr>
                <w:shd w:fill="auto" w:val="clear"/>
              </w:rPr>
            </w:pPr>
            <w:r w:rsidDel="00000000" w:rsidR="00000000" w:rsidRPr="00000000">
              <w:rPr>
                <w:shd w:fill="auto" w:val="clear"/>
                <w:rtl w:val="0"/>
              </w:rPr>
              <w:t xml:space="preserve">4.188</w:t>
            </w:r>
          </w:p>
        </w:tc>
        <w:tc>
          <w:tcPr>
            <w:tcBorders>
              <w:top w:color="cbd5e1" w:space="0" w:sz="6" w:val="single"/>
              <w:left w:color="cbd5e1" w:space="0" w:sz="6" w:val="single"/>
              <w:bottom w:color="cbd5e1" w:space="0" w:sz="6" w:val="single"/>
              <w:right w:color="cbd5e1" w:space="0" w:sz="6" w:val="single"/>
            </w:tcBorders>
            <w:shd w:fill="f8fafc" w:val="clear"/>
            <w:tcMar>
              <w:top w:w="150.0" w:type="dxa"/>
              <w:left w:w="150.0" w:type="dxa"/>
              <w:bottom w:w="150.0" w:type="dxa"/>
              <w:right w:w="15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150" w:before="150" w:lineRule="auto"/>
              <w:jc w:val="center"/>
              <w:rPr>
                <w:shd w:fill="auto" w:val="clear"/>
              </w:rPr>
            </w:pPr>
            <w:r w:rsidDel="00000000" w:rsidR="00000000" w:rsidRPr="00000000">
              <w:rPr>
                <w:shd w:fill="auto" w:val="clear"/>
                <w:rtl w:val="0"/>
              </w:rPr>
              <w:t xml:space="preserve">4.833</w:t>
            </w:r>
          </w:p>
        </w:tc>
        <w:tc>
          <w:tcPr>
            <w:tcBorders>
              <w:top w:color="cbd5e1" w:space="0" w:sz="6" w:val="single"/>
              <w:left w:color="cbd5e1" w:space="0" w:sz="6" w:val="single"/>
              <w:bottom w:color="cbd5e1" w:space="0" w:sz="6" w:val="single"/>
              <w:right w:color="cbd5e1" w:space="0" w:sz="6" w:val="single"/>
            </w:tcBorders>
            <w:shd w:fill="f8fafc" w:val="clear"/>
            <w:tcMar>
              <w:top w:w="150.0" w:type="dxa"/>
              <w:left w:w="150.0" w:type="dxa"/>
              <w:bottom w:w="150.0" w:type="dxa"/>
              <w:right w:w="15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150" w:before="150" w:lineRule="auto"/>
              <w:jc w:val="center"/>
              <w:rPr>
                <w:color w:val="008000"/>
                <w:shd w:fill="auto" w:val="clear"/>
              </w:rPr>
            </w:pPr>
            <w:r w:rsidDel="00000000" w:rsidR="00000000" w:rsidRPr="00000000">
              <w:rPr>
                <w:color w:val="008000"/>
                <w:shd w:fill="auto" w:val="clear"/>
                <w:rtl w:val="0"/>
              </w:rPr>
              <w:t xml:space="preserve">+15,4%</w:t>
            </w:r>
          </w:p>
        </w:tc>
      </w:tr>
    </w:tbl>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before="300" w:line="300" w:lineRule="auto"/>
        <w:rPr>
          <w:b w:val="1"/>
          <w:bCs w:val="1"/>
        </w:rPr>
      </w:pPr>
      <w:r w:rsidDel="00000000" w:rsidR="00000000" w:rsidRPr="00000000">
        <w:rPr>
          <w:b w:val="1"/>
          <w:bCs w:val="1"/>
          <w:rtl w:val="0"/>
        </w:rPr>
        <w:t xml:space="preserve">Hitos del Desempeño Clínico:</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b w:val="1"/>
          <w:bCs w:val="1"/>
          <w:rtl w:val="0"/>
        </w:rPr>
        <w:t xml:space="preserve">Pabellón y Cirugía Mayor:</w:t>
      </w:r>
      <w:r w:rsidDel="00000000" w:rsidR="00000000" w:rsidRPr="00000000">
        <w:rPr>
          <w:rtl w:val="0"/>
        </w:rPr>
        <w:t xml:space="preserve"> Las intervenciones quirúrgicas aumentaron a 1.154 procedimientos anuales, logrando un porcentaje de ocupación del pabellón del 74,8% (+5,1% respecto al año anterior). Esto optimiza los tiempos de espera institucionales.</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b w:val="1"/>
          <w:bCs w:val="1"/>
          <w:rtl w:val="0"/>
        </w:rPr>
        <w:t xml:space="preserve">Hospitalización Domiciliaria:</w:t>
      </w:r>
      <w:r w:rsidDel="00000000" w:rsidR="00000000" w:rsidRPr="00000000">
        <w:rPr>
          <w:rtl w:val="0"/>
        </w:rPr>
        <w:t xml:space="preserve"> Un gran orgullo de esta gestión ha sido la expansión de la atención extramural, registrando un aumento del 33,3% en pacientes ingresados (640 en total) y un incremento del 41,2% en visitas profesionales en terreno (8.245 visitas). Esto permite curar al paciente en la comodidad de su hogar y liberar camas críticas.</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02E">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 Gestión Técnica y Apoyo Diagnóstico</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line="300" w:lineRule="auto"/>
        <w:rPr/>
      </w:pPr>
      <w:r w:rsidDel="00000000" w:rsidR="00000000" w:rsidRPr="00000000">
        <w:rPr>
          <w:rtl w:val="0"/>
        </w:rPr>
        <w:t xml:space="preserve">La modernización tecnológica del hospital ha respaldado directamente la velocidad del diagnóstico médico, evitando traslados innecesarios a otras comunas.</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b w:val="1"/>
          <w:bCs w:val="1"/>
          <w:rtl w:val="0"/>
        </w:rPr>
        <w:t xml:space="preserve">Laboratorio Clínico:</w:t>
      </w:r>
      <w:r w:rsidDel="00000000" w:rsidR="00000000" w:rsidRPr="00000000">
        <w:rPr>
          <w:rtl w:val="0"/>
        </w:rPr>
        <w:t xml:space="preserve"> Se procesó un total histórico de 158.900 exámenes de laboratorio durante el 2025, un incremento acumulado del 9,4% desde 2023.</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b w:val="1"/>
          <w:bCs w:val="1"/>
          <w:rtl w:val="0"/>
        </w:rPr>
        <w:t xml:space="preserve">Imagenología (Rayos X):</w:t>
      </w:r>
      <w:r w:rsidDel="00000000" w:rsidR="00000000" w:rsidRPr="00000000">
        <w:rPr>
          <w:rtl w:val="0"/>
        </w:rPr>
        <w:t xml:space="preserve"> Se alcanzaron las 9.650 prestaciones, lo que representa un crecimiento del 14,2% en la resolución radiológica local.</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033">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 Gestión Financiera y Ejecución Presupuestaria</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300" w:lineRule="auto"/>
        <w:rPr/>
      </w:pPr>
      <w:r w:rsidDel="00000000" w:rsidR="00000000" w:rsidRPr="00000000">
        <w:rPr>
          <w:rtl w:val="0"/>
        </w:rPr>
        <w:t xml:space="preserve">A través de la Subdirección Administrativa, el hospital demostró una rigurosa eficiencia y transparencia en el uso de los recursos públicos, cerrando el año con un </w:t>
      </w:r>
      <w:r w:rsidDel="00000000" w:rsidR="00000000" w:rsidRPr="00000000">
        <w:rPr>
          <w:b w:val="1"/>
          <w:bCs w:val="1"/>
          <w:rtl w:val="0"/>
        </w:rPr>
        <w:t xml:space="preserve">100% de ejecución presupuestaria</w:t>
      </w:r>
      <w:r w:rsidDel="00000000" w:rsidR="00000000" w:rsidRPr="00000000">
        <w:rPr>
          <w:rtl w:val="0"/>
        </w:rPr>
        <w:t xml:space="preserve"> en el Subtítulo 21 (Remuneraciones y Personal).</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line="300" w:lineRule="auto"/>
        <w:rPr>
          <w:b w:val="1"/>
          <w:bCs w:val="1"/>
        </w:rPr>
      </w:pPr>
      <w:r w:rsidDel="00000000" w:rsidR="00000000" w:rsidRPr="00000000">
        <w:rPr>
          <w:b w:val="1"/>
          <w:bCs w:val="1"/>
          <w:rtl w:val="0"/>
        </w:rPr>
        <w:t xml:space="preserve">Distribución del Esfuerzo Financiero en Logística y Servicios Operativos (Hitos Clave):</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b w:val="1"/>
          <w:bCs w:val="1"/>
          <w:rtl w:val="0"/>
        </w:rPr>
        <w:t xml:space="preserve">Alimentación y Nutrición:</w:t>
      </w:r>
      <w:r w:rsidDel="00000000" w:rsidR="00000000" w:rsidRPr="00000000">
        <w:rPr>
          <w:rtl w:val="0"/>
        </w:rPr>
        <w:t xml:space="preserve"> Se garantizaron y formalizaron contratos estratégicos de suministro para el Servicio de Alimentación (como los convenios con Cecinas Venezia S.A. y Sociedad Distribuidora y Comercial Xima Ltda.), asegurando estándares de alta calidad alimentaria tanto para pacientes hospitalizados como para el personal de turno.</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b w:val="1"/>
          <w:bCs w:val="1"/>
          <w:rtl w:val="0"/>
        </w:rPr>
        <w:t xml:space="preserve">Sostenibilidad de la Red de Transporte Asistencial:</w:t>
      </w:r>
      <w:r w:rsidDel="00000000" w:rsidR="00000000" w:rsidRPr="00000000">
        <w:rPr>
          <w:rtl w:val="0"/>
        </w:rPr>
        <w:t xml:space="preserve"> Se ejecutaron exitosamente las licitaciones públicas para el mantenimiento correctivo mayor de las ambulancias institucionales (Contratos con Cruciani y Compañía Limitada), asegurando la continuidad del servicio de traslados críticos las 24 horas del día.</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039">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 Principales Desafíos y Compromisos para el Próximo Periodo</w:t>
      </w:r>
    </w:p>
    <w:p w:rsidR="00000000" w:rsidDel="00000000" w:rsidP="00000000" w:rsidRDefault="00000000" w:rsidRPr="00000000" w14:paraId="0000003A">
      <w:pPr>
        <w:numPr>
          <w:ilvl w:val="0"/>
          <w:numId w:val="4"/>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b w:val="1"/>
          <w:bCs w:val="1"/>
          <w:rtl w:val="0"/>
        </w:rPr>
        <w:t xml:space="preserve">Mejoramiento Continuo del Clima Laboral:</w:t>
      </w:r>
      <w:r w:rsidDel="00000000" w:rsidR="00000000" w:rsidRPr="00000000">
        <w:rPr>
          <w:rtl w:val="0"/>
        </w:rPr>
        <w:t xml:space="preserve"> Implementar a cabalidad las mesas de abordaje técnico frente a los riesgos psicosociales detectados, priorizando la salud mental de nuestros funcionarios.</w:t>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b w:val="1"/>
          <w:bCs w:val="1"/>
          <w:rtl w:val="0"/>
        </w:rPr>
        <w:t xml:space="preserve">Coordinación en Red:</w:t>
      </w:r>
      <w:r w:rsidDel="00000000" w:rsidR="00000000" w:rsidRPr="00000000">
        <w:rPr>
          <w:rtl w:val="0"/>
        </w:rPr>
        <w:t xml:space="preserve"> Fortalecer el trabajo conjunto e intersectorial con los centros de salud primaria comunales para mantener una vía fluida de derivación a especialidades.</w:t>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b w:val="1"/>
          <w:bCs w:val="1"/>
          <w:rtl w:val="0"/>
        </w:rPr>
        <w:t xml:space="preserve">Participación Ciudadana:</w:t>
      </w:r>
      <w:r w:rsidDel="00000000" w:rsidR="00000000" w:rsidRPr="00000000">
        <w:rPr>
          <w:rtl w:val="0"/>
        </w:rPr>
        <w:t xml:space="preserve"> Incrementar las instancias de diálogo con el Consejo Consultivo de Usuarios para integrar el control social en la mejora de la hotelería y trato al usuario de nuestro hospital.</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line="300" w:lineRule="auto"/>
        <w:jc w:val="center"/>
        <w:rPr>
          <w:b w:val="1"/>
          <w:bCs w:val="1"/>
        </w:rPr>
      </w:pPr>
      <w:r w:rsidDel="00000000" w:rsidR="00000000" w:rsidRPr="00000000">
        <w:rPr>
          <w:b w:val="1"/>
          <w:bCs w:val="1"/>
          <w:rtl w:val="0"/>
        </w:rPr>
        <w:t xml:space="preserve">Hospital Santo Tomás de Limache — Salud Digna y Oportuna para Nuestra Comuna</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